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44"/>
          <w:szCs w:val="44"/>
        </w:rPr>
        <w:t>БОРЕМСЯ  с  ОСТЕОПОРОЗОМ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(памятка для населения)</w:t>
      </w:r>
    </w:p>
    <w:p>
      <w:pPr>
        <w:pStyle w:val="Normal"/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-565785</wp:posOffset>
            </wp:positionH>
            <wp:positionV relativeFrom="paragraph">
              <wp:posOffset>756285</wp:posOffset>
            </wp:positionV>
            <wp:extent cx="2228850" cy="1495425"/>
            <wp:effectExtent l="0" t="0" r="0" b="0"/>
            <wp:wrapTight wrapText="bothSides">
              <wp:wrapPolygon edited="0">
                <wp:start x="-209" y="0"/>
                <wp:lineTo x="-209" y="21435"/>
                <wp:lineTo x="21600" y="21435"/>
                <wp:lineTo x="21600" y="0"/>
                <wp:lineTo x="-209" y="0"/>
              </wp:wrapPolygon>
            </wp:wrapTight>
            <wp:docPr id="1" name="Рисунок 1" descr="Нарушение структуры костной ткани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арушение структуры костной ткани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стеопороз – это системное заболевание скелета, характеризующееся снижением костной массы и нарушением строения костной ткани, ведущее к повышенной хрупкости костей с последующим увеличением риска их перелома. По данным ВОЗ остеопороз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среди неинфекционных заболеваний занимает по распространенности четвертое место после болезней сердечно-сосудистой системы, онкологических заболеваний и сахарного диабета.  По оценкам медиков, сегодня в Российской Федерации остеопорозом страдает 14 миллионов человек, еще у 20 миллионов есть остеопения. </w:t>
      </w:r>
    </w:p>
    <w:p>
      <w:pPr>
        <w:pStyle w:val="Normal"/>
        <w:ind w:left="-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факторы риска остеопороза: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предшествующие  переломы;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возраст старше 65 лет;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женский пол;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склонность к падениям;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недостаточное потребление кальция; 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дефицит витамина 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курение;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злоупотребление алкоголем;</w:t>
      </w:r>
    </w:p>
    <w:p>
      <w:pPr>
        <w:pStyle w:val="ListParagraph"/>
        <w:numPr>
          <w:ilvl w:val="0"/>
          <w:numId w:val="1"/>
        </w:numPr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сахарный диабет 2-го типа;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низкая физическая активность;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низкая масса тела.</w:t>
      </w:r>
    </w:p>
    <w:p>
      <w:pPr>
        <w:pStyle w:val="Normal"/>
        <w:numPr>
          <w:ilvl w:val="0"/>
          <w:numId w:val="1"/>
        </w:numPr>
        <w:spacing w:lineRule="auto" w:line="336" w:before="0" w:after="0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3920490</wp:posOffset>
            </wp:positionH>
            <wp:positionV relativeFrom="paragraph">
              <wp:posOffset>892175</wp:posOffset>
            </wp:positionV>
            <wp:extent cx="2076450" cy="1524000"/>
            <wp:effectExtent l="0" t="0" r="0" b="0"/>
            <wp:wrapSquare wrapText="bothSides"/>
            <wp:docPr id="2" name="Рисунок 4" descr="Осложнения остеопо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Осложнения остеопороза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аличие сопутствующих заболеваний  (эндокринные заболевания, болезни крови, воспалительные ревматические состояния, заболевания желудочно – кишечного тракта, хронические неврологические и др. заболевания </w:t>
      </w:r>
    </w:p>
    <w:p>
      <w:pPr>
        <w:pStyle w:val="NormalWeb"/>
        <w:spacing w:beforeAutospacing="0" w:before="0" w:afterAutospacing="0" w:after="0"/>
        <w:ind w:left="-567" w:hanging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Симптомы остеопороза.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Почти в 50% случаев остеопороз протекает бессимптомно. Часто заболевание маскируется под остеохондроз позвоночника и артрозы суставов  и диагностируется уже при наличии перелома. </w:t>
      </w:r>
    </w:p>
    <w:p>
      <w:pPr>
        <w:pStyle w:val="2"/>
        <w:spacing w:beforeAutospacing="0" w:before="0" w:afterAutospacing="0" w:after="0"/>
        <w:ind w:left="-567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Признаки остеопороза на ранней стадии: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 xml:space="preserve"> изменения в осанке, боли в костях при изменении погоды, хрупкость ногтей и волос, разрушение зубов, ночные судороги в ногах. У многих пациентов с остеопорозом  имеются жалобы на боли в спине, усиливающиеся после физической нагрузки, при длительном пребывании в одном положении (стоя или сидя) и ослабевающие  боли после отдыха в положении лежа.</w:t>
      </w:r>
    </w:p>
    <w:p>
      <w:pPr>
        <w:pStyle w:val="NormalWeb"/>
        <w:spacing w:beforeAutospacing="0" w:before="0" w:afterAutospacing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Падения – независимый фактор риска переломов костей.</w:t>
      </w:r>
      <w:r>
        <w:rPr>
          <w:rFonts w:cs="Times New Roman" w:ascii="Times New Roman" w:hAnsi="Times New Roman"/>
          <w:sz w:val="28"/>
          <w:szCs w:val="28"/>
        </w:rPr>
        <w:t xml:space="preserve"> Основные причины: низкая масса тела, недостаточная физическая активность, нарушение зрения, нарушение сна, вестибулярные расстройства, использование некоторых медикаментов. </w:t>
      </w:r>
    </w:p>
    <w:p>
      <w:pPr>
        <w:pStyle w:val="NormalWeb"/>
        <w:spacing w:beforeAutospacing="0" w:before="0" w:afterAutospacing="0" w:after="0"/>
        <w:ind w:left="-567" w:hanging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-567" w:hanging="0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Как избежать падений и переломов:</w:t>
      </w:r>
    </w:p>
    <w:p>
      <w:pPr>
        <w:pStyle w:val="NormalWeb"/>
        <w:numPr>
          <w:ilvl w:val="0"/>
          <w:numId w:val="2"/>
        </w:numPr>
        <w:tabs>
          <w:tab w:val="left" w:pos="-142" w:leader="none"/>
          <w:tab w:val="left" w:pos="0" w:leader="none"/>
          <w:tab w:val="left" w:pos="900" w:leader="none"/>
        </w:tabs>
        <w:spacing w:beforeAutospacing="0" w:before="0" w:afterAutospacing="0" w:after="0"/>
        <w:ind w:left="-567" w:hanging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Носить обувь на низком каблуке и устойчивой подошве.</w:t>
      </w:r>
    </w:p>
    <w:p>
      <w:pPr>
        <w:pStyle w:val="NormalWeb"/>
        <w:numPr>
          <w:ilvl w:val="0"/>
          <w:numId w:val="2"/>
        </w:numPr>
        <w:tabs>
          <w:tab w:val="left" w:pos="-142" w:leader="none"/>
          <w:tab w:val="left" w:pos="567" w:leader="none"/>
          <w:tab w:val="left" w:pos="900" w:leader="none"/>
        </w:tabs>
        <w:spacing w:beforeAutospacing="0" w:before="0" w:afterAutospacing="0" w:after="0"/>
        <w:ind w:left="-142" w:hanging="42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Обеспечить достаточное освещение лестниц, жилых помещений, ванных комнат и др.</w:t>
      </w:r>
    </w:p>
    <w:p>
      <w:pPr>
        <w:pStyle w:val="NormalWeb"/>
        <w:numPr>
          <w:ilvl w:val="0"/>
          <w:numId w:val="2"/>
        </w:numPr>
        <w:tabs>
          <w:tab w:val="left" w:pos="-142" w:leader="none"/>
          <w:tab w:val="left" w:pos="900" w:leader="none"/>
        </w:tabs>
        <w:spacing w:beforeAutospacing="0" w:before="0" w:afterAutospacing="0" w:after="0"/>
        <w:ind w:left="-567" w:hanging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Следить, чтобы полы, особенно на кухне и в ванной комнате, были сухими.</w:t>
      </w:r>
    </w:p>
    <w:p>
      <w:pPr>
        <w:pStyle w:val="NormalWeb"/>
        <w:numPr>
          <w:ilvl w:val="0"/>
          <w:numId w:val="2"/>
        </w:numPr>
        <w:tabs>
          <w:tab w:val="left" w:pos="-142" w:leader="none"/>
          <w:tab w:val="left" w:pos="0" w:leader="none"/>
          <w:tab w:val="left" w:pos="900" w:leader="none"/>
        </w:tabs>
        <w:spacing w:beforeAutospacing="0" w:before="0" w:afterAutospacing="0" w:after="0"/>
        <w:ind w:left="-567" w:hanging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Принимать лекарственные препараты с осторожностью.</w:t>
      </w:r>
    </w:p>
    <w:p>
      <w:pPr>
        <w:pStyle w:val="NormalWeb"/>
        <w:numPr>
          <w:ilvl w:val="0"/>
          <w:numId w:val="2"/>
        </w:numPr>
        <w:tabs>
          <w:tab w:val="left" w:pos="-142" w:leader="none"/>
          <w:tab w:val="left" w:pos="900" w:leader="none"/>
        </w:tabs>
        <w:spacing w:beforeAutospacing="0" w:before="0" w:afterAutospacing="0"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Избегать резких изменений положения тела, создающих угрозу головокружения.</w:t>
      </w:r>
    </w:p>
    <w:p>
      <w:pPr>
        <w:pStyle w:val="ListParagraph"/>
        <w:tabs>
          <w:tab w:val="left" w:pos="-142" w:leader="none"/>
        </w:tabs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567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3206115</wp:posOffset>
            </wp:positionH>
            <wp:positionV relativeFrom="paragraph">
              <wp:posOffset>59055</wp:posOffset>
            </wp:positionV>
            <wp:extent cx="2743200" cy="1828800"/>
            <wp:effectExtent l="0" t="0" r="0" b="0"/>
            <wp:wrapSquare wrapText="bothSides"/>
            <wp:docPr id="3" name="Рисунок 5" descr="Диета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Диета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  <w:szCs w:val="24"/>
        </w:rPr>
        <w:t>П</w:t>
      </w:r>
      <w:r>
        <w:rPr>
          <w:rFonts w:cs="Times New Roman" w:ascii="Times New Roman" w:hAnsi="Times New Roman"/>
          <w:b/>
          <w:i/>
          <w:sz w:val="24"/>
          <w:szCs w:val="24"/>
        </w:rPr>
        <w:t>ервичная профилактика остеопороза включает:</w:t>
      </w:r>
    </w:p>
    <w:p>
      <w:pPr>
        <w:pStyle w:val="ListParagraph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снижение влияния факторов риска   заболевания;</w:t>
      </w:r>
    </w:p>
    <w:p>
      <w:pPr>
        <w:pStyle w:val="ListParagraph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организацию рационального питания; </w:t>
      </w:r>
    </w:p>
    <w:p>
      <w:pPr>
        <w:pStyle w:val="ListParagraph"/>
        <w:ind w:left="-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- использование рекомендаций по   изменению диеты;</w:t>
      </w:r>
    </w:p>
    <w:p>
      <w:pPr>
        <w:pStyle w:val="ListParagraph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повышение физической активности;</w:t>
      </w:r>
    </w:p>
    <w:p>
      <w:pPr>
        <w:pStyle w:val="ListParagraph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отказ от вредных привычек;</w:t>
      </w:r>
    </w:p>
    <w:p>
      <w:pPr>
        <w:pStyle w:val="ListParagraph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нормализацию веса до  25 кг/м2;</w:t>
      </w:r>
    </w:p>
    <w:p>
      <w:pPr>
        <w:pStyle w:val="ListParagraph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оценку  количества  кальция, поступающего с пищей, используя </w:t>
      </w:r>
    </w:p>
    <w:p>
      <w:pPr>
        <w:pStyle w:val="ListParagraph"/>
        <w:ind w:lef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sz w:val="24"/>
          <w:szCs w:val="24"/>
        </w:rPr>
        <w:t>Таблицу суточной потребности организма в кальции: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11 -24 лет - 1200мг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25 –до менопаузы - 1000 мг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 время менопаузы - 1200 мг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после - 1500 мг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-567" w:hanging="0"/>
        <w:jc w:val="center"/>
        <w:rPr>
          <w:rFonts w:ascii="Times New Roman" w:hAnsi="Times New Roman" w:cs="Times New Roman"/>
          <w:b/>
          <w:b/>
          <w:i/>
          <w:i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A"/>
          <w:sz w:val="28"/>
          <w:szCs w:val="28"/>
        </w:rPr>
        <w:t>Помните! Для здоровья опасен недостаток кальция тем, что вызывает остеопороз, опасен также его излишек, т.к. может вызвать образование камней в почках, в мочевом и желчном пузыре, отрицательно повлиять на сердечнососудистую систему, а также спровоцировать раннее появление подагры и артрита.</w:t>
      </w:r>
    </w:p>
    <w:p>
      <w:pPr>
        <w:pStyle w:val="NormalWeb"/>
        <w:spacing w:beforeAutospacing="0" w:before="0" w:afterAutospacing="0" w:after="0"/>
        <w:ind w:left="-567" w:hanging="0"/>
        <w:jc w:val="both"/>
        <w:rPr/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Кальций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поступает к нам с молочными продуктами, содержится в рыбе, богаты кальцием капуста броколли и фасоль.</w:t>
      </w:r>
      <w:r>
        <w:rPr>
          <w:rStyle w:val="Strong"/>
          <w:rFonts w:cs="Times New Roman" w:ascii="Times New Roman" w:hAnsi="Times New Roman"/>
          <w:b w:val="false"/>
          <w:color w:val="00000A"/>
          <w:sz w:val="28"/>
          <w:szCs w:val="28"/>
        </w:rPr>
        <w:t xml:space="preserve"> Важный элемент – </w:t>
      </w:r>
      <w:r>
        <w:rPr>
          <w:rStyle w:val="Strong"/>
          <w:rFonts w:cs="Times New Roman" w:ascii="Times New Roman" w:hAnsi="Times New Roman"/>
          <w:color w:val="00000A"/>
          <w:sz w:val="28"/>
          <w:szCs w:val="28"/>
        </w:rPr>
        <w:t>фосфор</w:t>
      </w:r>
      <w:r>
        <w:rPr>
          <w:rStyle w:val="Strong"/>
          <w:rFonts w:cs="Times New Roman" w:ascii="Times New Roman" w:hAnsi="Times New Roman"/>
          <w:b w:val="false"/>
          <w:color w:val="00000A"/>
          <w:sz w:val="28"/>
          <w:szCs w:val="28"/>
        </w:rPr>
        <w:t xml:space="preserve">. Соли фосфора содержатся почти во всех пищевых продуктах как растительного, так и животного происхождения. Особенно много фосфора в орехах, хлебе, крупах, мясе, мозгах, печени, рыбе, яйцах. Вместе с кальцием нужно обязательно принимать </w:t>
      </w:r>
      <w:r>
        <w:rPr>
          <w:rStyle w:val="Strong"/>
          <w:rFonts w:cs="Times New Roman" w:ascii="Times New Roman" w:hAnsi="Times New Roman"/>
          <w:color w:val="00000A"/>
          <w:sz w:val="28"/>
          <w:szCs w:val="28"/>
        </w:rPr>
        <w:t>витамин Д.</w:t>
      </w:r>
      <w:r>
        <w:rPr>
          <w:rStyle w:val="Strong"/>
          <w:rFonts w:cs="Times New Roman" w:ascii="Times New Roman" w:hAnsi="Times New Roman"/>
          <w:b w:val="false"/>
          <w:color w:val="00000A"/>
          <w:sz w:val="28"/>
          <w:szCs w:val="28"/>
        </w:rPr>
        <w:t xml:space="preserve"> Он содержится во многих продуктах: в печени трески, жирной рыбе (сардинах и скумбрии), в тунце, в лесных грибах, сметане, масле и яичных желтках.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7c2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semiHidden/>
    <w:unhideWhenUsed/>
    <w:qFormat/>
    <w:rsid w:val="00e27c20"/>
    <w:pPr>
      <w:spacing w:lineRule="auto" w:line="240" w:beforeAutospacing="1" w:afterAutospacing="1"/>
      <w:jc w:val="center"/>
      <w:outlineLvl w:val="1"/>
    </w:pPr>
    <w:rPr>
      <w:rFonts w:ascii="Arial" w:hAnsi="Arial" w:eastAsia="Times New Roman" w:cs="Arial"/>
      <w:b/>
      <w:bCs/>
      <w:color w:val="006600"/>
      <w:sz w:val="21"/>
      <w:szCs w:val="21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e27c20"/>
    <w:rPr>
      <w:rFonts w:ascii="Arial" w:hAnsi="Arial" w:eastAsia="Times New Roman" w:cs="Arial"/>
      <w:b/>
      <w:bCs/>
      <w:color w:val="006600"/>
      <w:sz w:val="21"/>
      <w:szCs w:val="21"/>
      <w:lang w:eastAsia="ru-RU"/>
    </w:rPr>
  </w:style>
  <w:style w:type="character" w:styleId="Strong">
    <w:name w:val="Strong"/>
    <w:basedOn w:val="DefaultParagraphFont"/>
    <w:qFormat/>
    <w:rsid w:val="00e27c20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e27c20"/>
    <w:pPr>
      <w:spacing w:lineRule="auto" w:line="240" w:beforeAutospacing="1" w:afterAutospacing="1"/>
    </w:pPr>
    <w:rPr>
      <w:rFonts w:ascii="Arial" w:hAnsi="Arial" w:eastAsia="Times New Roman" w:cs="Arial"/>
      <w:color w:val="474646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27c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3</Pages>
  <Words>487</Words>
  <Characters>3156</Characters>
  <CharactersWithSpaces>3690</CharactersWithSpaces>
  <Paragraphs>40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2002-01-08T03:20:00Z</dcterms:created>
  <dc:creator>Бек</dc:creator>
  <dc:description/>
  <dc:language>ru-RU</dc:language>
  <cp:lastModifiedBy/>
  <dcterms:modified xsi:type="dcterms:W3CDTF">2017-11-02T22:56:17Z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